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200.0" w:type="dxa"/>
              <w:left w:w="280.0" w:type="dxa"/>
              <w:bottom w:w="200.0" w:type="dxa"/>
              <w:right w:w="280.0" w:type="dxa"/>
            </w:tcMar>
          </w:tcPr>
          <w:p w:rsidR="00000000" w:rsidDel="00000000" w:rsidP="00000000" w:rsidRDefault="00000000" w:rsidRPr="00000000" w14:paraId="00000002">
            <w:pPr>
              <w:spacing w:after="40" w:lineRule="auto"/>
              <w:rPr/>
            </w:pPr>
            <w:r w:rsidDel="00000000" w:rsidR="00000000" w:rsidRPr="00000000">
              <w:rPr>
                <w:color w:val="aadddb"/>
                <w:sz w:val="17"/>
                <w:szCs w:val="17"/>
                <w:rtl w:val="0"/>
              </w:rPr>
              <w:t xml:space="preserve">Operatives Paket für Hausverwaltungen  ·  </w:t>
            </w:r>
            <w:r w:rsidDel="00000000" w:rsidR="00000000" w:rsidRPr="00000000">
              <w:rPr>
                <w:color w:val="aadddb"/>
                <w:sz w:val="17"/>
                <w:szCs w:val="17"/>
                <w:rtl w:val="0"/>
              </w:rPr>
              <w:t xml:space="preserve">Dokument 3.</w:t>
            </w:r>
            <w:r w:rsidDel="00000000" w:rsidR="00000000" w:rsidRPr="00000000">
              <w:rPr>
                <w:color w:val="aadddb"/>
                <w:sz w:val="17"/>
                <w:szCs w:val="17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20" w:lineRule="auto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44"/>
                <w:szCs w:val="44"/>
                <w:rtl w:val="0"/>
              </w:rPr>
              <w:t xml:space="preserve">FAQ-Sheet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color="f18620" w:space="1" w:sz="6" w:val="single"/>
              </w:pBdr>
              <w:spacing w:after="30" w:before="60" w:lineRule="auto"/>
              <w:rPr/>
            </w:pPr>
            <w:r w:rsidDel="00000000" w:rsidR="00000000" w:rsidRPr="00000000">
              <w:rPr>
                <w:color w:val="ddeedd"/>
                <w:sz w:val="19"/>
                <w:szCs w:val="19"/>
                <w:rtl w:val="0"/>
              </w:rPr>
              <w:t xml:space="preserve">Häufig gestellte Fragen – mit fertigen Antworten für Ihre Eigentümer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55" w:before="55" w:lineRule="auto"/>
        <w:rPr/>
      </w:pPr>
      <w:r w:rsidDel="00000000" w:rsidR="00000000" w:rsidRPr="00000000">
        <w:rPr>
          <w:rtl w:val="0"/>
        </w:rPr>
        <w:t xml:space="preserve">Dieses Sheet gibt Ihnen als Hausverwaltung fertige Antworten auf die Fragen, die in der Regel von Eigentümern und Mietern am häufigsten gestellt werden. Sie müssen nicht selbst recherchieren – kopieren Sie die Antworten einfach in Ihre E-Mail-Kommunikation oder nutzen Sie sie in der Eigentümerversammlung.</w:t>
      </w:r>
    </w:p>
    <w:p w:rsidR="00000000" w:rsidDel="00000000" w:rsidP="00000000" w:rsidRDefault="00000000" w:rsidRPr="00000000" w14:paraId="00000007">
      <w:pPr>
        <w:spacing w:after="55" w:before="5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40" w:lineRule="auto"/>
        <w:rPr/>
      </w:pPr>
      <w:r w:rsidDel="00000000" w:rsidR="00000000" w:rsidRPr="00000000">
        <w:rPr>
          <w:rtl w:val="0"/>
        </w:rPr>
        <w:t xml:space="preserve">Kategorien:</w:t>
      </w:r>
    </w:p>
    <w:tbl>
      <w:tblPr>
        <w:tblStyle w:val="Table2"/>
        <w:tblW w:w="96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5"/>
        <w:gridCol w:w="105"/>
        <w:gridCol w:w="2325"/>
        <w:gridCol w:w="105"/>
        <w:gridCol w:w="2325"/>
        <w:gridCol w:w="105"/>
        <w:gridCol w:w="2325"/>
        <w:tblGridChange w:id="0">
          <w:tblGrid>
            <w:gridCol w:w="2325"/>
            <w:gridCol w:w="105"/>
            <w:gridCol w:w="2325"/>
            <w:gridCol w:w="105"/>
            <w:gridCol w:w="2325"/>
            <w:gridCol w:w="105"/>
            <w:gridCol w:w="23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Förderung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Prozess &amp; avori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Kosten &amp; WEG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Technik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pBdr>
          <w:bottom w:color="008380" w:space="1" w:sz="4" w:val="single"/>
        </w:pBdr>
        <w:spacing w:after="8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8380" w:space="1" w:sz="4" w:val="single"/>
        </w:pBdr>
        <w:spacing w:after="8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8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80.0" w:type="dxa"/>
              <w:left w:w="200.0" w:type="dxa"/>
              <w:bottom w:w="80.0" w:type="dxa"/>
              <w:right w:w="2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Kategorie 1: Förderung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6">
            <w:pPr>
              <w:spacing w:after="20" w:lineRule="auto"/>
              <w:rPr/>
            </w:pPr>
            <w:r w:rsidDel="00000000" w:rsidR="00000000" w:rsidRPr="00000000">
              <w:rPr>
                <w:color w:val="aadddb"/>
                <w:sz w:val="15"/>
                <w:szCs w:val="15"/>
                <w:rtl w:val="0"/>
              </w:rPr>
              <w:t xml:space="preserve">Förderung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Wie viel Förderung bekommen wir?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19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Das hängt von der Art der Installation ab. Die Fördersätze je Stellplatz sind: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Bis zu 2.000 € </w:t>
            </w: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bei bidirektionalen Ladestationen (V2G/V2H)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Bis zu 1.500 € </w:t>
            </w: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bei Standard-Wallboxen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Bis zu 1.300 € </w:t>
            </w: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bei reiner Vorverkabelung / Grundinstallation ohne Wallbox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Ein Objekt mit 10 Stellplätzen kann also bis zu 20.000 € Förderung erhalten.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1E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Nennen Sie immer den Maximalwert und ergänzen Sie, dass die tatsächliche Höhe von den genehmigten Kosten abhängt.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22">
            <w:pPr>
              <w:spacing w:after="20" w:lineRule="auto"/>
              <w:rPr/>
            </w:pPr>
            <w:r w:rsidDel="00000000" w:rsidR="00000000" w:rsidRPr="00000000">
              <w:rPr>
                <w:color w:val="aadddb"/>
                <w:sz w:val="15"/>
                <w:szCs w:val="15"/>
                <w:rtl w:val="0"/>
              </w:rPr>
              <w:t xml:space="preserve">Förderung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Bis wann muss der Antrag gestellt werden?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25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Die Antragsfrist läuft bis zum </w:t>
            </w: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10. November 2026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. Das Programm läuft nach dem Windhundprinzip. Frühzeitiges Handeln ist entscheidend.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rHeight w:val="64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26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Betonen Sie die Dringlichkeit – das Windhundprinzip bedeutet, dass der Fördertopf auch vor November leer sein kann.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2A">
            <w:pPr>
              <w:spacing w:after="20" w:lineRule="auto"/>
              <w:rPr/>
            </w:pPr>
            <w:r w:rsidDel="00000000" w:rsidR="00000000" w:rsidRPr="00000000">
              <w:rPr>
                <w:color w:val="aadddb"/>
                <w:sz w:val="15"/>
                <w:szCs w:val="15"/>
                <w:rtl w:val="0"/>
              </w:rPr>
              <w:t xml:space="preserve">Förderung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Muss ein WEG-Beschluss vorliegen, bevor der Antrag gestellt wird?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2D">
            <w:pPr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Nein – das ist einer der wichtigsten Vorteile.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Der Förderantrag kann gestellt werden, bevor ein WEG-Beschluss vorliegt. Der Beschluss über die tatsächliche Installation kann bis zu </w:t>
            </w: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6 Monate nach Förderzusage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 nachgereicht werden.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Das bedeutet: Wir können jetzt handeln und die Förderung sichern – die Entscheidung, ob wir tatsächlich bauen, trifft die Eigentümerversammlung danach.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2F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Dieses Argument nimmt den größten Einwand weg: 'Wir können erst nach der nächsten Versammlung entscheiden.'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33">
            <w:pPr>
              <w:spacing w:after="20" w:lineRule="auto"/>
              <w:rPr/>
            </w:pPr>
            <w:r w:rsidDel="00000000" w:rsidR="00000000" w:rsidRPr="00000000">
              <w:rPr>
                <w:color w:val="aadddb"/>
                <w:sz w:val="15"/>
                <w:szCs w:val="15"/>
                <w:rtl w:val="0"/>
              </w:rPr>
              <w:t xml:space="preserve">Förderung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Was bedeutet die 20%-Regel?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36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Mindestens 20% aller Stellplätze im Objekt müssen elektrifiziert oder elektrisch vorbereitet werden.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Wichtig: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Es reicht die reine Grundinstallation (Leerrohr / Vorverkabelung) – eine fertige Wallbox ist nicht zwingend erforderlich. Das senkt die Einstiegshürde erheblich.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1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38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Ein Objekt mit 20 Stellplätzen allerdings mindestens 6 elektrifizieren oder vorbereiten. Das ist meistens problemlos machbar.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spacing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bottom w:color="008380" w:space="1" w:sz="4" w:val="single"/>
        </w:pBdr>
        <w:spacing w:after="8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80.0" w:type="dxa"/>
              <w:left w:w="200.0" w:type="dxa"/>
              <w:bottom w:w="80.0" w:type="dxa"/>
              <w:right w:w="2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Kategorie 2: Prozess &amp; avori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0">
            <w:pPr>
              <w:spacing w:after="20" w:lineRule="auto"/>
              <w:rPr/>
            </w:pPr>
            <w:r w:rsidDel="00000000" w:rsidR="00000000" w:rsidRPr="00000000">
              <w:rPr>
                <w:color w:val="aadddb"/>
                <w:sz w:val="15"/>
                <w:szCs w:val="15"/>
                <w:rtl w:val="0"/>
              </w:rPr>
              <w:t xml:space="preserve">Prozess &amp; avori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Was macht avori genau – und was kostet das?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43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avori übernimmt den vollständigen Prozess für einen </w:t>
            </w: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Festpreis von 995 € netto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 – einmalig, alles inklusive: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Aufnahme der Objektdaten und Erstellung eines Ladeinfrastruktur-Konzepts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Planungs-Kostenvoranschlag als Grundlage für den Förderantrag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Einreichung und Begleitung des Förderantrags beim Bundesministerium für Verkehr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3D-Begehung vor Ort nach Förderzusage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Herstellerneutraler Angebotsvergleich (mind. 3 Angebote)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Matching mit dem besten Installationsanbieter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4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4A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Vergleich für Eigentümer: Bei 10 Stellplätzen sind 995 € weniger als 5% der möglichen 20.000 € Förderung.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E">
            <w:pPr>
              <w:spacing w:after="20" w:lineRule="auto"/>
              <w:rPr/>
            </w:pPr>
            <w:r w:rsidDel="00000000" w:rsidR="00000000" w:rsidRPr="00000000">
              <w:rPr>
                <w:color w:val="aadddb"/>
                <w:sz w:val="15"/>
                <w:szCs w:val="15"/>
                <w:rtl w:val="0"/>
              </w:rPr>
              <w:t xml:space="preserve">Prozess &amp; avori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Warum stellt avori einen Kostenvoranschlag aus und kein Installateur?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51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avori erstellt auf Basis der Objektdaten ein Konzept und einen Planungs-Kostenvoranschlag. Dieser dient ausschließlich als Grundlage für den Förderantrag – er ist keine verbindliche Preisvorgabe für die Installation.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Der Vorteil: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Wir können den Förderantrag sofort stellen, ohne zuerst Installateure zu kontaktieren und auf deren Angebote zu warten. Das spart mehrere Wochen – entscheidend beim Windhundprinzip.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Der eigentliche Angebotsvergleich mit detaillierten Installationsangeboten erfolgt nach der Förderzusage und nach der 3D-Begehung.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6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54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Das ist ein echter Wettbewerbsvorteil von avori gegenüber klassischen Ansätzen.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17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8">
            <w:pPr>
              <w:spacing w:after="20" w:lineRule="auto"/>
              <w:rPr/>
            </w:pPr>
            <w:r w:rsidDel="00000000" w:rsidR="00000000" w:rsidRPr="00000000">
              <w:rPr>
                <w:color w:val="aadddb"/>
                <w:sz w:val="15"/>
                <w:szCs w:val="15"/>
                <w:rtl w:val="0"/>
              </w:rPr>
              <w:t xml:space="preserve">Prozess &amp; avori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Ist avori herstellerneutral? Verdient avori an den Angeboten mit?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5B">
            <w:pPr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Ja, avori ist vollständig herstellerneutral.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 Wir haben mit allen Marktplatzteilnehmern die gleiche Vereinbarung - 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unabhängig davon, welcher Anbieter gewählt wird.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Das schafft echte Transparenz und Vertrauen bei den Eigentümern.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8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5D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Dieses Argument ist besonders wichtig, wenn Eigentümer fragen, ob avori Provision‘ vom Installateur bekommt.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spacing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bottom w:color="f18620" w:space="1" w:sz="4" w:val="single"/>
        </w:pBdr>
        <w:spacing w:after="8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19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80.0" w:type="dxa"/>
              <w:left w:w="200.0" w:type="dxa"/>
              <w:bottom w:w="80.0" w:type="dxa"/>
              <w:right w:w="2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Kategorie 3: Kosten &amp; WEG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20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65">
            <w:pPr>
              <w:spacing w:after="20" w:lineRule="auto"/>
              <w:rPr/>
            </w:pPr>
            <w:r w:rsidDel="00000000" w:rsidR="00000000" w:rsidRPr="00000000">
              <w:rPr>
                <w:color w:val="ffe0b8"/>
                <w:sz w:val="15"/>
                <w:szCs w:val="15"/>
                <w:rtl w:val="0"/>
              </w:rPr>
              <w:t xml:space="preserve">Kosten &amp; WEG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Wer zahlt die Installationskosten – alle Eigentümer oder nur die mit Stellplatz?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68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Das hängt vom Kostenverteilungsschlüssel in Ihrer Teilungserklärung ab. In der Regel gilt: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Individuelle Ladestation: </w:t>
            </w: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der jeweilige Eigentümer trägt die Kosten für seinen Stellplatz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Gemeinschaftsinfrastruktur (z.B. Hausanschluss, Zuleitung): </w:t>
            </w: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wird gemäß Miteigentumsanteilen auf alle Eigentümer umgelegt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avori erstellt im Konzept eine klare Kostenaufteilung, damit auf der Versammlung Klarheit herrscht.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1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6C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Dieser Punkt sorgt häufig für Diskussionen. Empfehlen Sie den Eigentümern, das avori-Konzept abzuwarten – es liefert eine klare Grundlage.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22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70">
            <w:pPr>
              <w:spacing w:after="20" w:lineRule="auto"/>
              <w:rPr/>
            </w:pPr>
            <w:r w:rsidDel="00000000" w:rsidR="00000000" w:rsidRPr="00000000">
              <w:rPr>
                <w:color w:val="ffe0b8"/>
                <w:sz w:val="15"/>
                <w:szCs w:val="15"/>
                <w:rtl w:val="0"/>
              </w:rPr>
              <w:t xml:space="preserve">Kosten &amp; WEG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Was passiert, wenn die WEG den Beschluss ablehnt?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73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Seit der WEG-Reform 2020 hat </w:t>
            </w: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jeder Eigentümer einen individuellen Rechtsanspruch auf Ladeinfrastruktur an seinem Stellplatz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 (§ 20 WEG). Die WEG kann die Installation nicht dauerhaft blockieren.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Lehnt die Versammlung die Gemeinschaftslösung ab, kann der einzelne Eigentümer trotzdem eine Einzellösung auf eigene Kosten umsetzen – dann jedoch ohne Förderungsvorteile einer Gemeinschaftslösung.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3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75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Die Gemeinschaftslösung ist fast immer deutlich günstiger und förderbegünstigt – das ist das stärkste Argument für gemeinsames Handeln.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24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79">
            <w:pPr>
              <w:spacing w:after="20" w:lineRule="auto"/>
              <w:rPr/>
            </w:pPr>
            <w:r w:rsidDel="00000000" w:rsidR="00000000" w:rsidRPr="00000000">
              <w:rPr>
                <w:color w:val="ffe0b8"/>
                <w:sz w:val="15"/>
                <w:szCs w:val="15"/>
                <w:rtl w:val="0"/>
              </w:rPr>
              <w:t xml:space="preserve">Kosten &amp; WEG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Können Mieter auch von der Ladeinfrastruktur profitieren?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7C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Ja. Mieter profitieren indirekt durch die Verfügbarkeit von Lademöglichkeiten an ihrem Stellplatz. Die Nutzung kann über einen separaten Ladevertrag mit dem Anbieter geregelt werden.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Für Vermieter hat die Ladeinfrastruktur einen direkten Wert: Die Vermietbarkeit von Wohnungen mit Lademöglichkeit steigt, ebenso die langfristige Attraktivität des Objekts.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5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7E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Dieser Punkt ist besonders relevant für Eigentümer, die vermieten und zunächst keinen persönlichen Bedarf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 sehen.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spacing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bottom w:color="1d1d1b" w:space="1" w:sz="4" w:val="single"/>
        </w:pBdr>
        <w:spacing w:after="8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26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80.0" w:type="dxa"/>
              <w:left w:w="200.0" w:type="dxa"/>
              <w:bottom w:w="80.0" w:type="dxa"/>
              <w:right w:w="2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Kategorie 4: Technik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27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86">
            <w:pPr>
              <w:spacing w:after="20" w:lineRule="auto"/>
              <w:rPr/>
            </w:pPr>
            <w:r w:rsidDel="00000000" w:rsidR="00000000" w:rsidRPr="00000000">
              <w:rPr>
                <w:color w:val="ffe0b8"/>
                <w:sz w:val="15"/>
                <w:szCs w:val="15"/>
                <w:rtl w:val="0"/>
              </w:rPr>
              <w:t xml:space="preserve">Technik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Müssen alle Stellplätze sofort eine Wallbox bekommen?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89">
            <w:pPr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Nein.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Es reicht,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wenn 20% der Stellplätze, aber mindestens 6 elektrifiziert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 oder vorbereitet werden. Für die Vorbereitung genügt eine Grundinstallation mit Leerrohren und Vorverkabelung – ohne Wallbox. Die Wallbox kann später jederzeit nachgerüstet werden.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8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8A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Das senkt die anfänglichen Kosten erheblich und überzeugt auch Eigentümer, die noch kein E-Auto haben.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spacing w:before="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29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8F">
            <w:pPr>
              <w:spacing w:after="20" w:lineRule="auto"/>
              <w:rPr/>
            </w:pPr>
            <w:r w:rsidDel="00000000" w:rsidR="00000000" w:rsidRPr="00000000">
              <w:rPr>
                <w:color w:val="ffe0b8"/>
                <w:sz w:val="15"/>
                <w:szCs w:val="15"/>
                <w:rtl w:val="0"/>
              </w:rPr>
              <w:t xml:space="preserve">Technik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Was ist eine bidirektionale Ladestation und lohnt sie sich?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92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Eine bidirektionale Ladestation (V2G = Vehicle to Grid, V2H = Vehicle to Home) kann nicht nur Strom laden, sondern auch Strom aus dem Fahrzeug ins Netz oder Gebäude zurückliefern.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Für die Förderung relevant: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Bidirektionale Stationen werden mit bis zu 2.000 € je Stellplatz gefördert – 500 € mehr als Standard-Wallboxen. 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30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94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avori prüft im Konzept, ob bidirektionale Stationen für Ihr Objekt sinnvoll sind und entsprechend empfohlen werden können.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spacing w:before="20" w:lineRule="auto"/>
        <w:rPr/>
      </w:pPr>
      <w:r w:rsidDel="00000000" w:rsidR="00000000" w:rsidRPr="00000000">
        <w:rPr>
          <w:rtl w:val="0"/>
        </w:rPr>
      </w:r>
    </w:p>
    <w:tbl>
      <w:tblPr>
        <w:tblStyle w:val="Table31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"/>
        <w:gridCol w:w="9253"/>
        <w:tblGridChange w:id="0">
          <w:tblGrid>
            <w:gridCol w:w="385"/>
            <w:gridCol w:w="92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10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100.0" w:type="dxa"/>
              <w:left w:w="16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98">
            <w:pPr>
              <w:spacing w:after="20" w:lineRule="auto"/>
              <w:rPr/>
            </w:pPr>
            <w:r w:rsidDel="00000000" w:rsidR="00000000" w:rsidRPr="00000000">
              <w:rPr>
                <w:color w:val="ffe0b8"/>
                <w:sz w:val="15"/>
                <w:szCs w:val="15"/>
                <w:rtl w:val="0"/>
              </w:rPr>
              <w:t xml:space="preserve">Technik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Was ist mit dem Stromanschluss des Gebäudes – reicht dieser aus?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100.0" w:type="dxa"/>
              <w:left w:w="160.0" w:type="dxa"/>
              <w:bottom w:w="120.0" w:type="dxa"/>
              <w:right w:w="140.0" w:type="dxa"/>
            </w:tcMar>
          </w:tcPr>
          <w:p w:rsidR="00000000" w:rsidDel="00000000" w:rsidP="00000000" w:rsidRDefault="00000000" w:rsidRPr="00000000" w14:paraId="0000009B">
            <w:pPr>
              <w:spacing w:after="40" w:before="4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Das hängt ganz vom Objekt ab. Bei vielen Gebäuden ist ein sogenanntes Last- &amp; Lade-Management-System erforderlich, das die verfügbare Netzleistung intelligent auf die Ladestationen verteilt.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Die gute Nachricht: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Last- &amp; Lade-Management-Systeme sind Fördergegenstand und verhindern oft einen teuren Netzausbau. avori prüft die Anschlussleistung im Rahmen der Objektdateneingabe und der 3D-Begehung.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32"/>
              <w:tblW w:w="89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938"/>
              <w:tblGridChange w:id="0">
                <w:tblGrid>
                  <w:gridCol w:w="89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f18620" w:space="0" w:sz="12" w:val="single"/>
                    <w:bottom w:color="000000" w:space="0" w:sz="0" w:val="nil"/>
                    <w:right w:color="000000" w:space="0" w:sz="0" w:val="nil"/>
                  </w:tcBorders>
                  <w:shd w:fill="fef3e8" w:val="clear"/>
                  <w:tcMar>
                    <w:top w:w="60.0" w:type="dxa"/>
                    <w:left w:w="120.0" w:type="dxa"/>
                    <w:bottom w:w="60.0" w:type="dxa"/>
                    <w:right w:w="80.0" w:type="dxa"/>
                  </w:tcMar>
                </w:tcPr>
                <w:p w:rsidR="00000000" w:rsidDel="00000000" w:rsidP="00000000" w:rsidRDefault="00000000" w:rsidRPr="00000000" w14:paraId="0000009D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f18620"/>
                      <w:sz w:val="17"/>
                      <w:szCs w:val="17"/>
                      <w:rtl w:val="0"/>
                    </w:rPr>
                    <w:t xml:space="preserve">◆  Tipp für die HV: </w:t>
                  </w:r>
                  <w:r w:rsidDel="00000000" w:rsidR="00000000" w:rsidRPr="00000000">
                    <w:rPr>
                      <w:i w:val="1"/>
                      <w:iCs w:val="1"/>
                      <w:sz w:val="17"/>
                      <w:szCs w:val="17"/>
                      <w:rtl w:val="0"/>
                    </w:rPr>
                    <w:t xml:space="preserve">Beruhigen Sie Eigentümer, die befürchten, dass das Gebäude aufwendig umgerüstet werden müsse. Das ist in den meisten Fällen nicht notwendig.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spacing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bottom w:color="008380" w:space="1" w:sz="4" w:val="single"/>
        </w:pBdr>
        <w:spacing w:after="8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before="60" w:lineRule="auto"/>
        <w:rPr/>
      </w:pPr>
      <w:r w:rsidDel="00000000" w:rsidR="00000000" w:rsidRPr="00000000">
        <w:rPr>
          <w:rtl w:val="0"/>
        </w:rPr>
      </w:r>
    </w:p>
    <w:tbl>
      <w:tblPr>
        <w:tblStyle w:val="Table33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59"/>
        <w:gridCol w:w="120"/>
        <w:gridCol w:w="4759"/>
        <w:tblGridChange w:id="0">
          <w:tblGrid>
            <w:gridCol w:w="4759"/>
            <w:gridCol w:w="120"/>
            <w:gridCol w:w="475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8380" w:space="0" w:sz="12" w:val="single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20.0" w:type="dxa"/>
              <w:left w:w="16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A2">
            <w:pPr>
              <w:spacing w:after="50" w:lineRule="auto"/>
              <w:rPr/>
            </w:pPr>
            <w:r w:rsidDel="00000000" w:rsidR="00000000" w:rsidRPr="00000000">
              <w:rPr>
                <w:b w:val="1"/>
                <w:bCs w:val="1"/>
                <w:color w:val="008380"/>
                <w:rtl w:val="0"/>
              </w:rPr>
              <w:t xml:space="preserve">Frage nicht dabei?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Kontaktieren Sie uns – wir antworten innerhalb von 24 Stunden.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before="40" w:lineRule="auto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9"/>
                <w:szCs w:val="19"/>
                <w:rtl w:val="0"/>
              </w:rPr>
              <w:t xml:space="preserve">info@avori.energy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f18620" w:space="0" w:sz="12" w:val="single"/>
              <w:bottom w:color="000000" w:space="0" w:sz="0" w:val="nil"/>
              <w:right w:color="000000" w:space="0" w:sz="0" w:val="nil"/>
            </w:tcBorders>
            <w:shd w:fill="fef3e8" w:val="clear"/>
            <w:tcMar>
              <w:top w:w="120.0" w:type="dxa"/>
              <w:left w:w="16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A6">
            <w:pPr>
              <w:spacing w:after="50" w:lineRule="auto"/>
              <w:rPr/>
            </w:pPr>
            <w:r w:rsidDel="00000000" w:rsidR="00000000" w:rsidRPr="00000000">
              <w:rPr>
                <w:b w:val="1"/>
                <w:bCs w:val="1"/>
                <w:color w:val="f18620"/>
                <w:rtl w:val="0"/>
              </w:rPr>
              <w:t xml:space="preserve">Bereit zum Starten?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sz w:val="19"/>
                <w:szCs w:val="19"/>
              </w:rPr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Antragsfrist: 10. November 2026. </w:t>
            </w:r>
          </w:p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Jetzt beauftragen: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before="40" w:lineRule="auto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9"/>
                <w:szCs w:val="19"/>
                <w:rtl w:val="0"/>
              </w:rPr>
              <w:t xml:space="preserve">avori.energy/foerderung-ladeinfrastruktur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pacing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color="d0d0d0" w:space="6" w:sz="4" w:val="single"/>
        </w:pBdr>
        <w:spacing w:before="80" w:lineRule="auto"/>
        <w:rPr/>
      </w:pPr>
      <w:r w:rsidDel="00000000" w:rsidR="00000000" w:rsidRPr="00000000">
        <w:rPr>
          <w:color w:val="aaaaaa"/>
          <w:sz w:val="15"/>
          <w:szCs w:val="15"/>
          <w:rtl w:val="0"/>
        </w:rPr>
        <w:t xml:space="preserve">Alle Angaben basieren auf dem Stand April 2026 und können sich ändern. Maßgeblich sind die jeweils gültigen Förderrichtlinien des BMV. Dieses Dokument ist zur Weitergabe an Eigentümer und Mieter freigegeben.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pBdr>
        <w:top w:color="d0d0d0" w:space="8" w:sz="4" w:val="single"/>
      </w:pBdr>
      <w:tabs>
        <w:tab w:val="right" w:leader="none" w:pos="9638"/>
      </w:tabs>
      <w:spacing w:before="80" w:lineRule="auto"/>
      <w:rPr/>
    </w:pPr>
    <w:r w:rsidDel="00000000" w:rsidR="00000000" w:rsidRPr="00000000">
      <w:rPr>
        <w:color w:val="999999"/>
        <w:sz w:val="16"/>
        <w:szCs w:val="16"/>
        <w:rtl w:val="0"/>
      </w:rPr>
      <w:t xml:space="preserve">avori GmbH  ·  avori.energy/foerderung-ladeinfrastruktur  ·  Stand: April 2026</w:t>
    </w:r>
    <w:r w:rsidDel="00000000" w:rsidR="00000000" w:rsidRPr="00000000">
      <w:rPr>
        <w:rtl w:val="0"/>
      </w:rPr>
      <w:tab/>
    </w:r>
    <w:r w:rsidDel="00000000" w:rsidR="00000000" w:rsidRPr="00000000">
      <w:rPr>
        <w:color w:val="999999"/>
        <w:sz w:val="16"/>
        <w:szCs w:val="16"/>
        <w:rtl w:val="0"/>
      </w:rPr>
      <w:t xml:space="preserve">Seite </w:t>
    </w:r>
    <w:r w:rsidDel="00000000" w:rsidR="00000000" w:rsidRPr="00000000">
      <w:rPr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34"/>
      <w:tblW w:w="9638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238"/>
      <w:gridCol w:w="2400"/>
      <w:tblGridChange w:id="0">
        <w:tblGrid>
          <w:gridCol w:w="7238"/>
          <w:gridCol w:w="240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AD">
          <w:pPr>
            <w:rPr/>
          </w:pPr>
          <w:r w:rsidDel="00000000" w:rsidR="00000000" w:rsidRPr="00000000">
            <w:rPr>
              <w:color w:val="ffffff"/>
              <w:sz w:val="16"/>
              <w:szCs w:val="16"/>
              <w:rtl w:val="0"/>
            </w:rPr>
            <w:t xml:space="preserve">avori.Market  –  FAQ-Sheet für Hausverwaltungen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AE">
          <w:pPr>
            <w:jc w:val="right"/>
            <w:rPr/>
          </w:pPr>
          <w:r w:rsidDel="00000000" w:rsidR="00000000" w:rsidRPr="00000000">
            <w:rPr>
              <w:color w:val="aadddb"/>
              <w:sz w:val="16"/>
              <w:szCs w:val="16"/>
              <w:rtl w:val="0"/>
            </w:rPr>
            <w:t xml:space="preserve">avori.energy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▸"/>
      <w:lvlJc w:val="left"/>
      <w:pPr>
        <w:ind w:left="520" w:hanging="300"/>
      </w:pPr>
      <w:rPr>
        <w:rFonts w:ascii="Poppins" w:cs="Poppins" w:eastAsia="Poppins" w:hAnsi="Poppins"/>
        <w:color w:val="008380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" w:cs="Poppins" w:eastAsia="Poppins" w:hAnsi="Poppins"/>
        <w:color w:val="3a3a3a"/>
        <w:lang w:val="de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3a3a3a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EnUd0sTaBElitgZxciuTIxZkqA==">CgMxLjA4AHIhMUVJM1YxZUwyYVdCNm52aXY0b256UTVQa2dteEdaWkVf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